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outlineLvl w:val="0"/>
      </w:pPr>
      <w:r>
        <w:rPr>
          <w:b/>
          <w:bCs/>
        </w:rPr>
        <w:t>From:</w:t>
      </w:r>
      <w:r>
        <w:t xml:space="preserve"> GMEPDs &lt;</w:t>
      </w:r>
      <w:hyperlink r:id="rId6" w:history="1">
        <w:r>
          <w:rPr>
            <w:rStyle w:val="Hyperlink"/>
          </w:rPr>
          <w:t>gmepds-bounces@mailman13.u.washington.edu</w:t>
        </w:r>
      </w:hyperlink>
      <w:r>
        <w:t xml:space="preserve">&gt; </w:t>
      </w:r>
      <w:r>
        <w:rPr>
          <w:b/>
          <w:bCs/>
        </w:rPr>
        <w:t xml:space="preserve">On Behalf Of </w:t>
      </w:r>
      <w:r>
        <w:t>Hadar Duman</w:t>
      </w:r>
      <w:r>
        <w:br/>
      </w:r>
      <w:r>
        <w:rPr>
          <w:b/>
          <w:bCs/>
        </w:rPr>
        <w:t>Sent:</w:t>
      </w:r>
      <w:r>
        <w:t xml:space="preserve"> Wednesday, July 25, 2018 5:20 PM</w:t>
      </w:r>
      <w:r>
        <w:br/>
      </w:r>
      <w:r>
        <w:rPr>
          <w:b/>
          <w:bCs/>
        </w:rPr>
        <w:t>To:</w:t>
      </w:r>
      <w:r>
        <w:t xml:space="preserve"> Hadar Duman &lt;</w:t>
      </w:r>
      <w:hyperlink r:id="rId7" w:history="1">
        <w:r>
          <w:rPr>
            <w:rStyle w:val="Hyperlink"/>
          </w:rPr>
          <w:t>hadars@uw.edu</w:t>
        </w:r>
      </w:hyperlink>
      <w:r>
        <w:t>&gt;</w:t>
      </w:r>
      <w:r>
        <w:br/>
      </w:r>
      <w:r>
        <w:rPr>
          <w:b/>
          <w:bCs/>
        </w:rPr>
        <w:t>Subject:</w:t>
      </w:r>
      <w:r>
        <w:t xml:space="preserve"> [GMEPDs] New ACGME Common Program Requirements</w:t>
      </w:r>
    </w:p>
    <w:p w:rsidR="00AF2216" w:rsidRDefault="00AF2216" w:rsidP="00AF2216"/>
    <w:p w:rsidR="00AF2216" w:rsidRDefault="00AF2216" w:rsidP="00AF2216">
      <w:pPr>
        <w:pStyle w:val="NormalWeb"/>
        <w:rPr>
          <w:sz w:val="22"/>
          <w:szCs w:val="22"/>
        </w:rPr>
      </w:pPr>
      <w:r>
        <w:rPr>
          <w:rFonts w:ascii="Calibri" w:hAnsi="Calibri"/>
          <w:sz w:val="22"/>
          <w:szCs w:val="22"/>
        </w:rPr>
        <w:t>Dear GME Community,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sz w:val="22"/>
          <w:szCs w:val="22"/>
        </w:rPr>
      </w:pPr>
      <w:r>
        <w:rPr>
          <w:rFonts w:ascii="Calibri" w:hAnsi="Calibri"/>
          <w:sz w:val="22"/>
          <w:szCs w:val="22"/>
        </w:rPr>
        <w:t xml:space="preserve">By now, most of you have had a chance to review the newly approved ACGME Common Program Requirements (CPRs), announced by Dr. </w:t>
      </w:r>
      <w:proofErr w:type="spellStart"/>
      <w:r>
        <w:rPr>
          <w:rFonts w:ascii="Calibri" w:hAnsi="Calibri"/>
          <w:sz w:val="22"/>
          <w:szCs w:val="22"/>
        </w:rPr>
        <w:t>Nasca</w:t>
      </w:r>
      <w:proofErr w:type="spellEnd"/>
      <w:r>
        <w:rPr>
          <w:rFonts w:ascii="Calibri" w:hAnsi="Calibri"/>
          <w:sz w:val="22"/>
          <w:szCs w:val="22"/>
        </w:rPr>
        <w:t xml:space="preserve"> in a letter distributed on June 29, 2018. The new CPRs will go into effect on July 1, 2019. The full requirements can be found at the following link on the ACGME website: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sz w:val="22"/>
          <w:szCs w:val="22"/>
        </w:rPr>
      </w:pPr>
      <w:hyperlink r:id="rId8" w:tgtFrame="_blank" w:history="1">
        <w:r>
          <w:rPr>
            <w:rStyle w:val="Hyperlink"/>
            <w:rFonts w:ascii="Calibri" w:hAnsi="Calibri"/>
            <w:color w:val="auto"/>
            <w:sz w:val="22"/>
            <w:szCs w:val="22"/>
          </w:rPr>
          <w:t>https://www.acgme.org/What-We-Do/Accreditation/Common-Program-Requirements</w:t>
        </w:r>
      </w:hyperlink>
      <w:r>
        <w:rPr>
          <w:rStyle w:val="Hyperlink"/>
          <w:rFonts w:ascii="Calibri" w:hAnsi="Calibri"/>
          <w:color w:val="auto"/>
          <w:sz w:val="22"/>
          <w:szCs w:val="22"/>
        </w:rPr>
        <w:t xml:space="preserve">  </w:t>
      </w:r>
    </w:p>
    <w:p w:rsidR="00AF2216" w:rsidRDefault="00AF2216" w:rsidP="00AF2216">
      <w:pPr>
        <w:pStyle w:val="NormalWeb"/>
        <w:rPr>
          <w:sz w:val="22"/>
          <w:szCs w:val="22"/>
        </w:rPr>
      </w:pPr>
    </w:p>
    <w:p w:rsidR="00AF2216" w:rsidRDefault="00AF2216" w:rsidP="00AF2216">
      <w:pPr>
        <w:pStyle w:val="NormalWeb"/>
        <w:rPr>
          <w:sz w:val="22"/>
          <w:szCs w:val="22"/>
        </w:rPr>
      </w:pPr>
      <w:r>
        <w:rPr>
          <w:rFonts w:ascii="Calibri" w:hAnsi="Calibri"/>
          <w:sz w:val="22"/>
          <w:szCs w:val="22"/>
        </w:rPr>
        <w:t xml:space="preserve">Having reviewed the requirements, we do believe that they have been reviewed and revised with the best of intentions - that is, with the goal of meaningfully improving the quality of the learning environment for every trainee. Our hope is that these new requirements will provide us with new opportunities to think more broadly about the learning environment for our trainees and the best safety for our patients.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sz w:val="22"/>
          <w:szCs w:val="22"/>
        </w:rPr>
      </w:pPr>
      <w:r>
        <w:rPr>
          <w:rFonts w:ascii="Calibri" w:hAnsi="Calibri"/>
          <w:sz w:val="22"/>
          <w:szCs w:val="22"/>
        </w:rPr>
        <w:t>Some notable highlights of this new iteration include:</w:t>
      </w:r>
    </w:p>
    <w:p w:rsidR="00AF2216" w:rsidRDefault="00AF2216" w:rsidP="00AF2216">
      <w:pPr>
        <w:numPr>
          <w:ilvl w:val="0"/>
          <w:numId w:val="1"/>
        </w:numPr>
        <w:rPr>
          <w:rFonts w:eastAsia="Times New Roman"/>
        </w:rPr>
      </w:pPr>
      <w:r>
        <w:rPr>
          <w:rFonts w:eastAsia="Times New Roman"/>
        </w:rPr>
        <w:t>Nearly all CPRs (Sections I-V) now categorized as “Core,” with remainder categorized as “Outcome”</w:t>
      </w:r>
    </w:p>
    <w:p w:rsidR="00AF2216" w:rsidRDefault="00AF2216" w:rsidP="00AF2216">
      <w:pPr>
        <w:numPr>
          <w:ilvl w:val="0"/>
          <w:numId w:val="1"/>
        </w:numPr>
        <w:rPr>
          <w:rFonts w:eastAsia="Times New Roman"/>
        </w:rPr>
      </w:pPr>
      <w:r>
        <w:rPr>
          <w:rFonts w:eastAsia="Times New Roman"/>
        </w:rPr>
        <w:t>Increased alignment with Institutional Requirements</w:t>
      </w:r>
    </w:p>
    <w:p w:rsidR="00AF2216" w:rsidRDefault="00AF2216" w:rsidP="00AF2216">
      <w:pPr>
        <w:numPr>
          <w:ilvl w:val="0"/>
          <w:numId w:val="1"/>
        </w:numPr>
        <w:rPr>
          <w:rFonts w:eastAsia="Times New Roman"/>
        </w:rPr>
      </w:pPr>
      <w:r>
        <w:rPr>
          <w:rFonts w:eastAsia="Times New Roman"/>
        </w:rPr>
        <w:t xml:space="preserve">New definition of core faculty </w:t>
      </w:r>
    </w:p>
    <w:p w:rsidR="00AF2216" w:rsidRDefault="00AF2216" w:rsidP="00AF2216">
      <w:pPr>
        <w:numPr>
          <w:ilvl w:val="0"/>
          <w:numId w:val="1"/>
        </w:numPr>
        <w:rPr>
          <w:rFonts w:eastAsia="Times New Roman"/>
        </w:rPr>
      </w:pPr>
      <w:r>
        <w:rPr>
          <w:rFonts w:eastAsia="Times New Roman"/>
        </w:rPr>
        <w:t>New Program director and faculty member qualification requirements </w:t>
      </w:r>
    </w:p>
    <w:p w:rsidR="00AF2216" w:rsidRDefault="00AF2216" w:rsidP="00AF2216">
      <w:pPr>
        <w:numPr>
          <w:ilvl w:val="0"/>
          <w:numId w:val="1"/>
        </w:numPr>
        <w:rPr>
          <w:rFonts w:eastAsia="Times New Roman"/>
        </w:rPr>
      </w:pPr>
      <w:r>
        <w:rPr>
          <w:rFonts w:eastAsia="Times New Roman"/>
        </w:rPr>
        <w:t>Requirement regarding minimal level of program director support (0.2 FTE for residencies, RC to specify minimum support for fellowships)</w:t>
      </w:r>
    </w:p>
    <w:p w:rsidR="00AF2216" w:rsidRDefault="00AF2216" w:rsidP="00AF2216">
      <w:pPr>
        <w:numPr>
          <w:ilvl w:val="0"/>
          <w:numId w:val="1"/>
        </w:numPr>
        <w:rPr>
          <w:rFonts w:eastAsia="Times New Roman"/>
        </w:rPr>
      </w:pPr>
      <w:r>
        <w:rPr>
          <w:rFonts w:eastAsia="Times New Roman"/>
        </w:rPr>
        <w:t>Inclusion of a requirement for a program coordinator, with a minimal level of support (0.5 FTE for residencies, RC may specify minimum support for fellowships)</w:t>
      </w:r>
    </w:p>
    <w:p w:rsidR="00AF2216" w:rsidRDefault="00AF2216" w:rsidP="00AF2216">
      <w:pPr>
        <w:numPr>
          <w:ilvl w:val="0"/>
          <w:numId w:val="1"/>
        </w:numPr>
        <w:rPr>
          <w:rFonts w:eastAsia="Times New Roman"/>
        </w:rPr>
      </w:pPr>
      <w:r>
        <w:rPr>
          <w:rFonts w:eastAsia="Times New Roman"/>
        </w:rPr>
        <w:t>Emphasis on program mission and aims</w:t>
      </w:r>
    </w:p>
    <w:p w:rsidR="00AF2216" w:rsidRDefault="00AF2216" w:rsidP="00AF2216">
      <w:pPr>
        <w:numPr>
          <w:ilvl w:val="0"/>
          <w:numId w:val="1"/>
        </w:numPr>
        <w:rPr>
          <w:rFonts w:eastAsia="Times New Roman"/>
          <w:highlight w:val="darkCyan"/>
        </w:rPr>
      </w:pPr>
      <w:r>
        <w:rPr>
          <w:rFonts w:eastAsia="Times New Roman"/>
          <w:highlight w:val="darkCyan"/>
        </w:rPr>
        <w:t>For FELLOWSHIPS: Elimination of select sub-competency requirements</w:t>
      </w:r>
    </w:p>
    <w:p w:rsidR="00AF2216" w:rsidRDefault="00AF2216" w:rsidP="00AF2216">
      <w:pPr>
        <w:numPr>
          <w:ilvl w:val="0"/>
          <w:numId w:val="1"/>
        </w:numPr>
        <w:rPr>
          <w:rFonts w:eastAsia="Times New Roman"/>
          <w:highlight w:val="darkCyan"/>
        </w:rPr>
      </w:pPr>
      <w:r>
        <w:rPr>
          <w:rFonts w:eastAsia="Times New Roman"/>
          <w:highlight w:val="darkCyan"/>
        </w:rPr>
        <w:t>Broadened definition of scholarly activity</w:t>
      </w:r>
    </w:p>
    <w:p w:rsidR="00AF2216" w:rsidRDefault="00AF2216" w:rsidP="00AF2216">
      <w:pPr>
        <w:numPr>
          <w:ilvl w:val="0"/>
          <w:numId w:val="1"/>
        </w:numPr>
        <w:rPr>
          <w:rFonts w:eastAsia="Times New Roman"/>
          <w:highlight w:val="darkCyan"/>
        </w:rPr>
      </w:pPr>
      <w:r>
        <w:rPr>
          <w:rFonts w:eastAsia="Times New Roman"/>
          <w:highlight w:val="darkCyan"/>
        </w:rPr>
        <w:t>Standardized approach to board certification examination pass rates</w:t>
      </w:r>
    </w:p>
    <w:p w:rsidR="00AF2216" w:rsidRDefault="00AF2216" w:rsidP="00AF2216">
      <w:pPr>
        <w:numPr>
          <w:ilvl w:val="0"/>
          <w:numId w:val="1"/>
        </w:numPr>
        <w:rPr>
          <w:rFonts w:eastAsia="Times New Roman"/>
          <w:highlight w:val="darkCyan"/>
        </w:rPr>
      </w:pPr>
      <w:r>
        <w:rPr>
          <w:rFonts w:eastAsia="Times New Roman"/>
          <w:highlight w:val="darkCyan"/>
        </w:rPr>
        <w:t>Section VI modifications for clarity of existing requirements: </w:t>
      </w:r>
    </w:p>
    <w:p w:rsidR="00AF2216" w:rsidRDefault="00AF2216" w:rsidP="00AF2216">
      <w:pPr>
        <w:numPr>
          <w:ilvl w:val="1"/>
          <w:numId w:val="2"/>
        </w:numPr>
        <w:rPr>
          <w:rFonts w:eastAsia="Times New Roman"/>
          <w:highlight w:val="darkCyan"/>
        </w:rPr>
      </w:pPr>
      <w:r>
        <w:rPr>
          <w:rFonts w:eastAsia="Times New Roman"/>
          <w:highlight w:val="darkCyan"/>
        </w:rPr>
        <w:t>need for programs to partner with the Sponsoring Institution</w:t>
      </w:r>
    </w:p>
    <w:p w:rsidR="00AF2216" w:rsidRDefault="00AF2216" w:rsidP="00AF2216">
      <w:pPr>
        <w:numPr>
          <w:ilvl w:val="1"/>
          <w:numId w:val="2"/>
        </w:numPr>
        <w:rPr>
          <w:rFonts w:eastAsia="Times New Roman"/>
          <w:highlight w:val="darkCyan"/>
        </w:rPr>
      </w:pPr>
      <w:r>
        <w:rPr>
          <w:rFonts w:eastAsia="Times New Roman"/>
          <w:highlight w:val="darkCyan"/>
        </w:rPr>
        <w:t>need to address discrimination, and sexual and other forms of harassment </w:t>
      </w:r>
    </w:p>
    <w:p w:rsidR="00AF2216" w:rsidRDefault="00AF2216" w:rsidP="00AF2216">
      <w:pPr>
        <w:numPr>
          <w:ilvl w:val="1"/>
          <w:numId w:val="2"/>
        </w:numPr>
        <w:rPr>
          <w:rFonts w:eastAsia="Times New Roman"/>
          <w:highlight w:val="darkCyan"/>
        </w:rPr>
      </w:pPr>
      <w:r>
        <w:rPr>
          <w:rFonts w:eastAsia="Times New Roman"/>
          <w:highlight w:val="darkCyan"/>
        </w:rPr>
        <w:t>expanded to emphasize the responsibility of the physician to support other members of the health care team </w:t>
      </w:r>
    </w:p>
    <w:p w:rsidR="00AF2216" w:rsidRDefault="00AF2216" w:rsidP="00AF2216">
      <w:pPr>
        <w:numPr>
          <w:ilvl w:val="1"/>
          <w:numId w:val="2"/>
        </w:numPr>
        <w:rPr>
          <w:rFonts w:eastAsia="Times New Roman"/>
          <w:highlight w:val="darkCyan"/>
        </w:rPr>
      </w:pPr>
      <w:r>
        <w:rPr>
          <w:rFonts w:eastAsia="Times New Roman"/>
          <w:highlight w:val="darkCyan"/>
        </w:rPr>
        <w:t>expanded to include parental leave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sz w:val="22"/>
          <w:szCs w:val="22"/>
        </w:rPr>
      </w:pPr>
      <w:r>
        <w:rPr>
          <w:rFonts w:ascii="Calibri" w:hAnsi="Calibri"/>
          <w:sz w:val="22"/>
          <w:szCs w:val="22"/>
        </w:rPr>
        <w:t>We are still internalizing the local impact of the new CPRs, but we do know that implementation will require creativity on the part of programs, GME and the School of Medicine during the UW Medicine Financial Improvement Transformation (FIT) initiative to mitigate a large projected shortfall.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sz w:val="22"/>
          <w:szCs w:val="22"/>
        </w:rPr>
      </w:pPr>
      <w:r>
        <w:rPr>
          <w:rFonts w:ascii="Calibri" w:hAnsi="Calibri"/>
          <w:sz w:val="22"/>
          <w:szCs w:val="22"/>
        </w:rPr>
        <w:t xml:space="preserve">We will be focusing on selected elements of the new CPRs this year in the 2018-19 Program Director Development Series (PDDS). We have already started to brainstorm about practical solutions for compliance. For example, Learning Gateway has already commenced work with a team of resident and </w:t>
      </w:r>
      <w:r>
        <w:rPr>
          <w:rFonts w:ascii="Calibri" w:hAnsi="Calibri"/>
          <w:sz w:val="22"/>
          <w:szCs w:val="22"/>
        </w:rPr>
        <w:lastRenderedPageBreak/>
        <w:t xml:space="preserve">faculty stakeholders and subject matter experts on a </w:t>
      </w:r>
      <w:r>
        <w:rPr>
          <w:rFonts w:ascii="Calibri" w:hAnsi="Calibri"/>
          <w:sz w:val="22"/>
          <w:szCs w:val="22"/>
          <w:highlight w:val="darkCyan"/>
        </w:rPr>
        <w:t>Physician Well-Being training to replace the existing Fatigue Mitigation module.</w:t>
      </w:r>
      <w:r>
        <w:rPr>
          <w:rFonts w:ascii="Calibri" w:hAnsi="Calibri"/>
          <w:sz w:val="22"/>
          <w:szCs w:val="22"/>
        </w:rPr>
        <w:t> </w:t>
      </w:r>
    </w:p>
    <w:p w:rsidR="00AF2216" w:rsidRDefault="00AF2216" w:rsidP="00AF2216">
      <w:pPr>
        <w:pStyle w:val="NormalWeb"/>
        <w:rPr>
          <w:sz w:val="22"/>
          <w:szCs w:val="22"/>
        </w:rPr>
      </w:pPr>
      <w:r>
        <w:rPr>
          <w:rFonts w:ascii="Calibri" w:hAnsi="Calibri"/>
          <w:sz w:val="22"/>
          <w:szCs w:val="22"/>
        </w:rPr>
        <w:t> </w:t>
      </w:r>
    </w:p>
    <w:p w:rsidR="00AF2216" w:rsidRDefault="00AF2216" w:rsidP="00AF2216">
      <w:pPr>
        <w:pStyle w:val="NormalWeb"/>
        <w:rPr>
          <w:rFonts w:ascii="Calibri" w:hAnsi="Calibri"/>
          <w:sz w:val="22"/>
          <w:szCs w:val="22"/>
        </w:rPr>
      </w:pPr>
      <w:r>
        <w:rPr>
          <w:rFonts w:ascii="Calibri" w:hAnsi="Calibri"/>
          <w:sz w:val="22"/>
          <w:szCs w:val="22"/>
        </w:rPr>
        <w:t xml:space="preserve">The GME Office is doing all in its power to advocate for additional resources.  Please look for additional communication from our office as we get a better sense of cost implications, particularly around PD/PA protected time.  </w:t>
      </w:r>
    </w:p>
    <w:p w:rsidR="00AF2216" w:rsidRDefault="00AF2216" w:rsidP="00AF2216">
      <w:pPr>
        <w:pStyle w:val="NormalWeb"/>
        <w:rPr>
          <w:rFonts w:ascii="Calibri" w:hAnsi="Calibri"/>
          <w:sz w:val="22"/>
          <w:szCs w:val="22"/>
        </w:rPr>
      </w:pPr>
    </w:p>
    <w:p w:rsidR="00AF2216" w:rsidRDefault="00AF2216" w:rsidP="00AF2216">
      <w:pPr>
        <w:pStyle w:val="NormalWeb"/>
        <w:rPr>
          <w:rFonts w:ascii="Calibri" w:hAnsi="Calibri"/>
          <w:sz w:val="22"/>
          <w:szCs w:val="22"/>
        </w:rPr>
      </w:pPr>
      <w:r>
        <w:rPr>
          <w:rFonts w:ascii="Calibri" w:hAnsi="Calibri"/>
          <w:sz w:val="22"/>
          <w:szCs w:val="22"/>
        </w:rPr>
        <w:t>We remain so appreciative of your hard and thoughtful work on behalf of residents, fellows and patients. If you have questions, or knowledge of best practices from other institutions, we would like to hear from you.</w:t>
      </w:r>
    </w:p>
    <w:p w:rsidR="00AF2216" w:rsidRDefault="00AF2216" w:rsidP="00AF2216">
      <w:pPr>
        <w:rPr>
          <w:rFonts w:ascii="Times New Roman" w:hAnsi="Times New Roman"/>
        </w:rPr>
      </w:pPr>
    </w:p>
    <w:p w:rsidR="00AF2216" w:rsidRDefault="00AF2216" w:rsidP="00AF2216">
      <w:r>
        <w:t>Sincerely,</w:t>
      </w:r>
    </w:p>
    <w:p w:rsidR="00AF2216" w:rsidRDefault="00AF2216" w:rsidP="00AF2216"/>
    <w:tbl>
      <w:tblPr>
        <w:tblW w:w="0" w:type="auto"/>
        <w:tblCellMar>
          <w:left w:w="0" w:type="dxa"/>
          <w:right w:w="0" w:type="dxa"/>
        </w:tblCellMar>
        <w:tblLook w:val="04A0" w:firstRow="1" w:lastRow="0" w:firstColumn="1" w:lastColumn="0" w:noHBand="0" w:noVBand="1"/>
      </w:tblPr>
      <w:tblGrid>
        <w:gridCol w:w="4585"/>
        <w:gridCol w:w="4765"/>
      </w:tblGrid>
      <w:tr w:rsidR="00AF2216" w:rsidTr="00AF2216">
        <w:tc>
          <w:tcPr>
            <w:tcW w:w="4585" w:type="dxa"/>
            <w:tcMar>
              <w:top w:w="0" w:type="dxa"/>
              <w:left w:w="108" w:type="dxa"/>
              <w:bottom w:w="0" w:type="dxa"/>
              <w:right w:w="108" w:type="dxa"/>
            </w:tcMar>
          </w:tcPr>
          <w:p w:rsidR="00AF2216" w:rsidRDefault="00AF2216">
            <w:pPr>
              <w:rPr>
                <w:color w:val="000000"/>
              </w:rPr>
            </w:pPr>
            <w:r>
              <w:rPr>
                <w:rFonts w:ascii="Arial" w:hAnsi="Arial" w:cs="Arial"/>
                <w:b/>
                <w:bCs/>
                <w:color w:val="998456"/>
                <w:sz w:val="20"/>
                <w:szCs w:val="20"/>
              </w:rPr>
              <w:t>Jennifer A. Best, MD</w:t>
            </w:r>
          </w:p>
          <w:p w:rsidR="00AF2216" w:rsidRDefault="00AF2216">
            <w:pPr>
              <w:rPr>
                <w:color w:val="000000"/>
              </w:rPr>
            </w:pPr>
            <w:r>
              <w:rPr>
                <w:rFonts w:ascii="Arial" w:hAnsi="Arial" w:cs="Arial"/>
                <w:color w:val="000000"/>
                <w:sz w:val="18"/>
                <w:szCs w:val="18"/>
              </w:rPr>
              <w:t xml:space="preserve">Associate Dean for Graduate Medical Education </w:t>
            </w:r>
            <w:r>
              <w:rPr>
                <w:rFonts w:ascii="Arial" w:hAnsi="Arial" w:cs="Arial"/>
                <w:color w:val="000000"/>
                <w:sz w:val="18"/>
                <w:szCs w:val="18"/>
              </w:rPr>
              <w:br/>
              <w:t>University of Washington School of Medicine</w:t>
            </w:r>
          </w:p>
          <w:p w:rsidR="00AF2216" w:rsidRDefault="00AF2216">
            <w:pPr>
              <w:rPr>
                <w:color w:val="000000"/>
              </w:rPr>
            </w:pPr>
            <w:r>
              <w:rPr>
                <w:rFonts w:ascii="Arial" w:hAnsi="Arial" w:cs="Arial"/>
                <w:color w:val="666666"/>
                <w:sz w:val="18"/>
                <w:szCs w:val="18"/>
              </w:rPr>
              <w:t>850 Republican St., C-427, Box 358047</w:t>
            </w:r>
            <w:r>
              <w:rPr>
                <w:rFonts w:ascii="Arial" w:hAnsi="Arial" w:cs="Arial"/>
                <w:color w:val="666666"/>
                <w:sz w:val="18"/>
                <w:szCs w:val="18"/>
              </w:rPr>
              <w:br/>
              <w:t>Seattle, WA 98109-4325</w:t>
            </w:r>
            <w:r>
              <w:rPr>
                <w:rFonts w:ascii="Arial" w:hAnsi="Arial" w:cs="Arial"/>
                <w:color w:val="666666"/>
                <w:sz w:val="18"/>
                <w:szCs w:val="18"/>
              </w:rPr>
              <w:br/>
              <w:t>Office: 206.616.8286</w:t>
            </w:r>
          </w:p>
          <w:p w:rsidR="00AF2216" w:rsidRDefault="00AF2216">
            <w:pPr>
              <w:rPr>
                <w:color w:val="000000"/>
              </w:rPr>
            </w:pPr>
            <w:hyperlink r:id="rId9" w:history="1">
              <w:r>
                <w:rPr>
                  <w:rStyle w:val="Hyperlink"/>
                  <w:rFonts w:ascii="Arial" w:hAnsi="Arial" w:cs="Arial"/>
                  <w:color w:val="525252"/>
                  <w:sz w:val="18"/>
                  <w:szCs w:val="18"/>
                </w:rPr>
                <w:t>www.gme.washington.edu</w:t>
              </w:r>
            </w:hyperlink>
          </w:p>
          <w:p w:rsidR="00AF2216" w:rsidRDefault="00AF2216">
            <w:pPr>
              <w:rPr>
                <w:color w:val="000000"/>
              </w:rPr>
            </w:pPr>
            <w:r>
              <w:rPr>
                <w:rFonts w:ascii="Arial" w:hAnsi="Arial" w:cs="Arial"/>
                <w:color w:val="525252"/>
                <w:sz w:val="18"/>
                <w:szCs w:val="18"/>
              </w:rPr>
              <w:t> </w:t>
            </w:r>
          </w:p>
          <w:p w:rsidR="00AF2216" w:rsidRDefault="00AF2216">
            <w:pPr>
              <w:rPr>
                <w:color w:val="000000"/>
              </w:rPr>
            </w:pPr>
            <w:r>
              <w:rPr>
                <w:rFonts w:ascii="Arial" w:hAnsi="Arial" w:cs="Arial"/>
                <w:color w:val="000000"/>
                <w:sz w:val="18"/>
                <w:szCs w:val="18"/>
              </w:rPr>
              <w:t>Associate Program Director</w:t>
            </w:r>
          </w:p>
          <w:p w:rsidR="00AF2216" w:rsidRDefault="00AF2216">
            <w:pPr>
              <w:rPr>
                <w:color w:val="000000"/>
              </w:rPr>
            </w:pPr>
            <w:r>
              <w:rPr>
                <w:rFonts w:ascii="Arial" w:hAnsi="Arial" w:cs="Arial"/>
                <w:color w:val="525252"/>
                <w:sz w:val="18"/>
                <w:szCs w:val="18"/>
              </w:rPr>
              <w:t>Internal Medicine Residency Program</w:t>
            </w:r>
          </w:p>
          <w:p w:rsidR="00AF2216" w:rsidRDefault="00AF2216">
            <w:pPr>
              <w:rPr>
                <w:color w:val="000000"/>
              </w:rPr>
            </w:pPr>
            <w:hyperlink r:id="rId10" w:history="1">
              <w:r>
                <w:rPr>
                  <w:rStyle w:val="Hyperlink"/>
                  <w:rFonts w:ascii="Arial" w:hAnsi="Arial" w:cs="Arial"/>
                  <w:color w:val="525252"/>
                  <w:sz w:val="18"/>
                  <w:szCs w:val="18"/>
                </w:rPr>
                <w:t>depts.washington.edu/</w:t>
              </w:r>
              <w:proofErr w:type="spellStart"/>
              <w:r>
                <w:rPr>
                  <w:rStyle w:val="Hyperlink"/>
                  <w:rFonts w:ascii="Arial" w:hAnsi="Arial" w:cs="Arial"/>
                  <w:color w:val="525252"/>
                  <w:sz w:val="18"/>
                  <w:szCs w:val="18"/>
                </w:rPr>
                <w:t>uwmedres</w:t>
              </w:r>
              <w:proofErr w:type="spellEnd"/>
              <w:r>
                <w:rPr>
                  <w:rStyle w:val="Hyperlink"/>
                  <w:rFonts w:ascii="Arial" w:hAnsi="Arial" w:cs="Arial"/>
                  <w:color w:val="525252"/>
                  <w:sz w:val="18"/>
                  <w:szCs w:val="18"/>
                </w:rPr>
                <w:t>/</w:t>
              </w:r>
            </w:hyperlink>
          </w:p>
          <w:p w:rsidR="00AF2216" w:rsidRDefault="00AF2216"/>
        </w:tc>
        <w:tc>
          <w:tcPr>
            <w:tcW w:w="4765" w:type="dxa"/>
            <w:tcMar>
              <w:top w:w="0" w:type="dxa"/>
              <w:left w:w="108" w:type="dxa"/>
              <w:bottom w:w="0" w:type="dxa"/>
              <w:right w:w="108" w:type="dxa"/>
            </w:tcMar>
          </w:tcPr>
          <w:p w:rsidR="00AF2216" w:rsidRDefault="00AF2216">
            <w:pPr>
              <w:rPr>
                <w:rFonts w:ascii="Arial" w:hAnsi="Arial" w:cs="Arial"/>
                <w:b/>
                <w:bCs/>
                <w:color w:val="998456"/>
                <w:sz w:val="20"/>
                <w:szCs w:val="20"/>
              </w:rPr>
            </w:pPr>
            <w:r>
              <w:rPr>
                <w:rFonts w:ascii="Arial" w:hAnsi="Arial" w:cs="Arial"/>
                <w:b/>
                <w:bCs/>
                <w:color w:val="998456"/>
                <w:sz w:val="20"/>
                <w:szCs w:val="20"/>
              </w:rPr>
              <w:t>Hadar Duman</w:t>
            </w:r>
          </w:p>
          <w:p w:rsidR="00AF2216" w:rsidRDefault="00AF2216">
            <w:pPr>
              <w:rPr>
                <w:rFonts w:ascii="Arial" w:hAnsi="Arial" w:cs="Arial"/>
                <w:color w:val="000000"/>
                <w:sz w:val="18"/>
                <w:szCs w:val="18"/>
              </w:rPr>
            </w:pPr>
            <w:r>
              <w:rPr>
                <w:rFonts w:ascii="Arial" w:hAnsi="Arial" w:cs="Arial"/>
                <w:color w:val="000000"/>
                <w:sz w:val="18"/>
                <w:szCs w:val="18"/>
              </w:rPr>
              <w:t>Director of Accreditation</w:t>
            </w:r>
          </w:p>
          <w:p w:rsidR="00AF2216" w:rsidRDefault="00AF2216">
            <w:pPr>
              <w:rPr>
                <w:rFonts w:ascii="Arial" w:hAnsi="Arial" w:cs="Arial"/>
                <w:color w:val="000000"/>
                <w:sz w:val="18"/>
                <w:szCs w:val="18"/>
              </w:rPr>
            </w:pPr>
            <w:r>
              <w:rPr>
                <w:rFonts w:ascii="Arial" w:hAnsi="Arial" w:cs="Arial"/>
                <w:color w:val="000000"/>
                <w:sz w:val="18"/>
                <w:szCs w:val="18"/>
              </w:rPr>
              <w:t>Office of Graduate Medical Education, Dean of Medicine</w:t>
            </w:r>
          </w:p>
          <w:p w:rsidR="00AF2216" w:rsidRDefault="00AF2216">
            <w:pPr>
              <w:rPr>
                <w:rFonts w:ascii="Arial" w:hAnsi="Arial" w:cs="Arial"/>
                <w:color w:val="666666"/>
                <w:sz w:val="18"/>
                <w:szCs w:val="18"/>
              </w:rPr>
            </w:pPr>
            <w:r>
              <w:rPr>
                <w:rFonts w:ascii="Arial" w:hAnsi="Arial" w:cs="Arial"/>
                <w:color w:val="666666"/>
                <w:sz w:val="18"/>
                <w:szCs w:val="18"/>
              </w:rPr>
              <w:t>850 Republican St., Box 358047</w:t>
            </w:r>
            <w:r>
              <w:rPr>
                <w:rFonts w:ascii="Arial" w:hAnsi="Arial" w:cs="Arial"/>
                <w:color w:val="666666"/>
                <w:sz w:val="18"/>
                <w:szCs w:val="18"/>
              </w:rPr>
              <w:br/>
              <w:t>Seattle, WA 98109-4325</w:t>
            </w:r>
            <w:r>
              <w:rPr>
                <w:rFonts w:ascii="Arial" w:hAnsi="Arial" w:cs="Arial"/>
                <w:color w:val="666666"/>
                <w:sz w:val="18"/>
                <w:szCs w:val="18"/>
              </w:rPr>
              <w:br/>
              <w:t xml:space="preserve">Office: 206-616-2961   </w:t>
            </w:r>
          </w:p>
          <w:p w:rsidR="00AF2216" w:rsidRDefault="00AF2216">
            <w:pPr>
              <w:rPr>
                <w:rFonts w:ascii="Arial" w:hAnsi="Arial" w:cs="Arial"/>
                <w:color w:val="666666"/>
                <w:sz w:val="18"/>
                <w:szCs w:val="18"/>
              </w:rPr>
            </w:pPr>
            <w:r>
              <w:rPr>
                <w:rFonts w:ascii="Arial" w:hAnsi="Arial" w:cs="Arial"/>
                <w:color w:val="666666"/>
                <w:sz w:val="18"/>
                <w:szCs w:val="18"/>
              </w:rPr>
              <w:t>Fax: 206-685-3314</w:t>
            </w:r>
          </w:p>
          <w:p w:rsidR="00AF2216" w:rsidRDefault="00AF2216">
            <w:pPr>
              <w:rPr>
                <w:color w:val="595959"/>
                <w:sz w:val="18"/>
                <w:szCs w:val="18"/>
              </w:rPr>
            </w:pPr>
            <w:hyperlink r:id="rId11" w:history="1">
              <w:r>
                <w:rPr>
                  <w:rStyle w:val="Hyperlink"/>
                  <w:rFonts w:ascii="Arial" w:hAnsi="Arial" w:cs="Arial"/>
                  <w:color w:val="595959"/>
                  <w:sz w:val="18"/>
                  <w:szCs w:val="18"/>
                </w:rPr>
                <w:t>hadars@uw.edu</w:t>
              </w:r>
            </w:hyperlink>
          </w:p>
          <w:p w:rsidR="00AF2216" w:rsidRDefault="00AF2216">
            <w:pPr>
              <w:rPr>
                <w:rFonts w:ascii="Arial" w:hAnsi="Arial" w:cs="Arial"/>
                <w:color w:val="1F497D"/>
                <w:sz w:val="18"/>
                <w:szCs w:val="18"/>
              </w:rPr>
            </w:pPr>
            <w:hyperlink r:id="rId12" w:history="1">
              <w:r>
                <w:rPr>
                  <w:rStyle w:val="Hyperlink"/>
                  <w:rFonts w:ascii="Arial" w:hAnsi="Arial" w:cs="Arial"/>
                  <w:color w:val="666666"/>
                  <w:sz w:val="18"/>
                  <w:szCs w:val="18"/>
                </w:rPr>
                <w:t>www.gme.washington.edu</w:t>
              </w:r>
            </w:hyperlink>
          </w:p>
          <w:p w:rsidR="00AF2216" w:rsidRDefault="00AF2216">
            <w:pPr>
              <w:rPr>
                <w:rFonts w:ascii="Arial" w:hAnsi="Arial" w:cs="Arial"/>
                <w:color w:val="595959"/>
                <w:sz w:val="18"/>
                <w:szCs w:val="18"/>
                <w:u w:val="single"/>
              </w:rPr>
            </w:pPr>
            <w:hyperlink r:id="rId13" w:history="1">
              <w:r>
                <w:rPr>
                  <w:rStyle w:val="Hyperlink"/>
                  <w:rFonts w:ascii="Arial" w:hAnsi="Arial" w:cs="Arial"/>
                  <w:color w:val="595959"/>
                  <w:sz w:val="18"/>
                  <w:szCs w:val="18"/>
                </w:rPr>
                <w:t>uwsom.washington.edu</w:t>
              </w:r>
            </w:hyperlink>
          </w:p>
          <w:p w:rsidR="00AF2216" w:rsidRDefault="00AF2216"/>
        </w:tc>
      </w:tr>
    </w:tbl>
    <w:p w:rsidR="00083791" w:rsidRDefault="00083791" w:rsidP="00F45343">
      <w:bookmarkStart w:id="0" w:name="_GoBack"/>
      <w:bookmarkEnd w:id="0"/>
    </w:p>
    <w:sectPr w:rsidR="0008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159A"/>
    <w:multiLevelType w:val="multilevel"/>
    <w:tmpl w:val="CFB8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64628F1"/>
    <w:multiLevelType w:val="multilevel"/>
    <w:tmpl w:val="A766A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16"/>
    <w:rsid w:val="00083791"/>
    <w:rsid w:val="00AF2216"/>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216"/>
    <w:rPr>
      <w:color w:val="0563C1"/>
      <w:u w:val="single"/>
    </w:rPr>
  </w:style>
  <w:style w:type="paragraph" w:styleId="NormalWeb">
    <w:name w:val="Normal (Web)"/>
    <w:basedOn w:val="Normal"/>
    <w:uiPriority w:val="99"/>
    <w:semiHidden/>
    <w:unhideWhenUsed/>
    <w:rsid w:val="00AF221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216"/>
    <w:rPr>
      <w:color w:val="0563C1"/>
      <w:u w:val="single"/>
    </w:rPr>
  </w:style>
  <w:style w:type="paragraph" w:styleId="NormalWeb">
    <w:name w:val="Normal (Web)"/>
    <w:basedOn w:val="Normal"/>
    <w:uiPriority w:val="99"/>
    <w:semiHidden/>
    <w:unhideWhenUsed/>
    <w:rsid w:val="00AF22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cgme.org_What-2DWe-2DDo_Accreditation_Common-2DProgram-2DRequirements&amp;d=DwMGaQ&amp;c=aBkXpkKi7gN5fe5MqrMaN-VmRugaRb1IDRfSv2xVRy0&amp;r=LZR7C4GOrlu3r3Ci_r68Ool4ABBkZ4OV5UxhZkicNjRUF2o7wmmi_tyFJR152AuK&amp;m=__iyTFY4x4ugALZ90I8maNt5yVInl1dFCXwWON9c5XY&amp;s=lDb3703CO4vtgQci72ttrMkH3nKfwbSbVbjaJ7HYDh0&amp;e=" TargetMode="External"/><Relationship Id="rId13" Type="http://schemas.openxmlformats.org/officeDocument/2006/relationships/hyperlink" Target="https://urldefense.proofpoint.com/v2/url?u=http-3A__uwsom.washington.edu_&amp;d=DwMFAg&amp;c=aBkXpkKi7gN5fe5MqrMaN-VmRugaRb1IDRfSv2xVRy0&amp;r=ZC5tcby73pwYijjHS8mZw-rdQiJ9xiuYwBAleR74b6TPZr1Qb00BfJfrm95tT--d&amp;m=nwjvr66PmAKfpOgi9HRqU4difHkpKG5bDGYMEwQCN_g&amp;s=TVz5f36Ex248xHOitHarzh19zvyorxFudG99KAm0BC8&amp;e=" TargetMode="External"/><Relationship Id="rId3" Type="http://schemas.microsoft.com/office/2007/relationships/stylesWithEffects" Target="stylesWithEffects.xml"/><Relationship Id="rId7" Type="http://schemas.openxmlformats.org/officeDocument/2006/relationships/hyperlink" Target="mailto:hadars@uw.edu" TargetMode="External"/><Relationship Id="rId12" Type="http://schemas.openxmlformats.org/officeDocument/2006/relationships/hyperlink" Target="https://urldefense.proofpoint.com/v2/url?u=http-3A__www.gme.washington.edu_&amp;d=DwMFAg&amp;c=aBkXpkKi7gN5fe5MqrMaN-VmRugaRb1IDRfSv2xVRy0&amp;r=ZC5tcby73pwYijjHS8mZw-rdQiJ9xiuYwBAleR74b6TPZr1Qb00BfJfrm95tT--d&amp;m=nwjvr66PmAKfpOgi9HRqU4difHkpKG5bDGYMEwQCN_g&amp;s=58HVbNBPHxkbHQF9Rg4_h4duMtxL3EJlEyzlIWGUHwE&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epds-bounces@mailman13.u.washington.edu" TargetMode="External"/><Relationship Id="rId11" Type="http://schemas.openxmlformats.org/officeDocument/2006/relationships/hyperlink" Target="mailto:hadars@uw.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depts.washington.edu/uwmedres/" TargetMode="External"/><Relationship Id="rId4" Type="http://schemas.openxmlformats.org/officeDocument/2006/relationships/settings" Target="settings.xml"/><Relationship Id="rId9" Type="http://schemas.openxmlformats.org/officeDocument/2006/relationships/hyperlink" Target="https://urldefense.proofpoint.com/v2/url?u=http-3A__www.gme.washington.edu_&amp;d=DwMGaQ&amp;c=aBkXpkKi7gN5fe5MqrMaN-VmRugaRb1IDRfSv2xVRy0&amp;r=LZR7C4GOrlu3r3Ci_r68Ool4ABBkZ4OV5UxhZkicNjRUF2o7wmmi_tyFJR152AuK&amp;m=__iyTFY4x4ugALZ90I8maNt5yVInl1dFCXwWON9c5XY&amp;s=VkRh91r-nYx8ateFpTDbL1pL9cXldHiPGRYlEnygZkI&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2018-07-26T23:34:00Z</dcterms:created>
  <dcterms:modified xsi:type="dcterms:W3CDTF">2018-07-26T23:34:00Z</dcterms:modified>
</cp:coreProperties>
</file>